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ind w:firstLine="709"/>
        <w:jc w:val="center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80" distR="180">
            <wp:extent cx="6559550" cy="925131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92513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>
      <w:pPr>
        <w:jc w:val="center"/>
        <w:spacing w:after="100" w:afterAutospacing="1" w:before="100" w:beforeAutospacing="1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/>
          <w:bCs/>
          <w:sz w:val="28"/>
          <w:szCs w:val="28"/>
        </w:rPr>
        <w:t>1. Пояснительная записка</w:t>
      </w:r>
    </w:p>
    <w:p>
      <w:pPr>
        <w:ind w:firstLine="720"/>
        <w:outlineLvl w:val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(общеразвивающая) программа «Волшебные пальчики» имеет художественную направленность и является авторской. Данная программа разработана на основе дополнительной общеобразовательной (общеразвивающей) программы «Живая глина», педагога Иванцовой Н.В., утвержденной в качестве авторской в                   МУ ДО «СЮН» 28 августа 2014 года. </w:t>
      </w:r>
    </w:p>
    <w:p>
      <w:pPr>
        <w:ind w:firstLine="708"/>
        <w:outlineLvl w:val="0"/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</w:p>
    <w:p>
      <w:pPr>
        <w:ind w:firstLine="720"/>
        <w:outlineLvl w:val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 направлением социальной политики российского государства и стран мирового сообщества является создание системы эффективной социальной реабилитации детей с ограниченными возможностями здоровья. К этой категории относятся дети, имеющие «значительные ограничения жизнедеятельности, приводящие к социальной дезадаптации вследствие нарушения роста и развития ребенка, способностей к самообслуживанию, передвижению, ориентации, контролю за своим поведением, обучению, общению, трудовой деятельности в будущем». Программа может осуществляться как в общеобразовательных организациях, так и в реабилитационных центрах, где дети находятся на лечении, для этого программа разбита на модули.</w:t>
      </w:r>
    </w:p>
    <w:p>
      <w:pPr>
        <w:ind w:firstLine="708"/>
        <w:jc w:val="both"/>
        <w:spacing w:after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sz w:val="28"/>
        </w:rPr>
        <w:t>Новизна:</w:t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(общеразвивающая) </w:t>
      </w:r>
      <w:r>
        <w:rPr>
          <w:rFonts w:ascii="Times New Roman" w:eastAsia="Calibri" w:hAnsi="Times New Roman" w:cs="Times New Roman"/>
          <w:sz w:val="28"/>
          <w:szCs w:val="28"/>
        </w:rPr>
        <w:t>программа опирается на принципы доступности, здоровьесбережения, наглядности, направлена на творческую реабилитацию детей с ограниченными возможностями здоровья, является основой для дальнейшего знакомства детей с элементами декоративно - прикладного искусства, приобщения к труду как к осознано необходимой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через глинотерапию.</w:t>
      </w:r>
      <w:r>
        <w:rPr>
          <w:rFonts w:ascii="Times New Roman" w:eastAsia="Calibri" w:hAnsi="Times New Roman" w:cs="Times New Roman"/>
        </w:rPr>
        <w:t xml:space="preserve"> </w:t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b/>
          <w:sz w:val="28"/>
          <w:szCs w:val="28"/>
        </w:rPr>
        <w:t>практическая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значимость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данной общеобразовательной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(общеразвивающей)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программы  в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активизации внутреннего мира человека через глинотерапию. Глинотерапия – это проективная методика. Способствует снижению агрессивности, страхов, тревожности у детей; оказывает психотерапевтическую помощь детям с гиперактивностью, замкнутостью, развивает творческое воображение, фантазию, развивает мелкую моторику, помогает детям </w:t>
      </w:r>
      <w:r>
        <w:rPr>
          <w:rFonts w:ascii="Times New Roman" w:eastAsia="Calibri" w:hAnsi="Times New Roman" w:cs="Times New Roman"/>
          <w:sz w:val="28"/>
          <w:szCs w:val="28"/>
        </w:rPr>
        <w:t>с ограниченными возможностями здоровья.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Сущность воспитания и обучения ребенка с ограниченными возможностями здоровья состоит во всестороннем развитии его личности, которое складывается не из коррекции отдельных функций, а предполагает целостный подход, позволяющий поднять на более высокий уровень все потенциальные возможности конкретного ребенка – психические, физические, интеллектуальные. Таким образом, у него появляется возможность самостоятельной жизнедеятельности в будущем.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Достичь взаимопонимания и сотворчества можно через совместную творческую деятельность, сенсорные ощущения; которые способствуют осознанию у детей своих чувств, переживаний, побуждает детей к размышлениям, самоисследованию, личностному росту, </w:t>
      </w:r>
      <w:r>
        <w:rPr>
          <w:rFonts w:ascii="Times New Roman" w:eastAsia="Calibri" w:hAnsi="Times New Roman" w:cs="Times New Roman"/>
          <w:sz w:val="28"/>
          <w:szCs w:val="28"/>
        </w:rPr>
        <w:t>экологической культуры.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Практическая значимость изучения программы для обучающихся заключается в приобретении и дальнейшем применении знаний, умений и навыков практической деятельности, коммуникаций со сверстниками, поисковой и самостоятельной деятельности в образовательном процессе, социуме.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lang w:eastAsia="ru-RU"/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оказание комплексной коррекционно – творческой помощи и поддержки детей с ограниченными возможностями здоровья, осуществление коррекции недостатков в физическом и психическом развитии детей с ограниченными возможностями здоровья.</w:t>
      </w:r>
    </w:p>
    <w:p>
      <w:pPr>
        <w:ind w:firstLine="708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  <w:t>Для достижения поставленной цели предусматривается решение следующих воспитательных, образовательных, развивающих и оздоровительных задач: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  <w:t xml:space="preserve">     - помощь учащимся в адаптации к реальным социально-экономическим условиям рынка и в ориентировании в постоянно меняющейся ситуации;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  <w:t xml:space="preserve">     - формирование организованности, ответственности, дисциплины и самодисциплины;</w:t>
      </w:r>
    </w:p>
    <w:p>
      <w:pPr>
        <w:ind w:firstLine="360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  <w:t>- формирование научно-биологических и практических основ здорового образа жизни;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</w:t>
      </w:r>
    </w:p>
    <w:p>
      <w:pPr>
        <w:ind w:firstLine="360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- ознакомить с простейшими способами наблюдения за природными явлениями и объектами;</w:t>
      </w:r>
    </w:p>
    <w:p>
      <w:pPr>
        <w:ind w:left="426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формировать стремление к активному участию в конкурсах, выставках;</w:t>
      </w:r>
    </w:p>
    <w:p>
      <w:pPr>
        <w:ind w:firstLine="426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- ознакомить со способами деятельности – лепка из глины игрушки, барельеф, скульптура;</w:t>
      </w:r>
    </w:p>
    <w:p>
      <w:pPr>
        <w:ind w:firstLine="426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- научить основам создания образов из глины: работы из целого куска, из отдельных частей, создание образов;</w:t>
      </w:r>
    </w:p>
    <w:p>
      <w:pPr>
        <w:ind w:firstLine="360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- развивать интерес к изучению народных промыслов; </w:t>
      </w:r>
    </w:p>
    <w:p>
      <w:pPr>
        <w:ind w:firstLine="360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развивать мелкую моторику рук, чувство пластики;</w:t>
      </w:r>
    </w:p>
    <w:p>
      <w:pPr>
        <w:ind w:firstLine="360"/>
        <w:jc w:val="both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8"/>
        </w:rPr>
        <w:t>- развивать образное мышление и воображение;</w:t>
      </w:r>
    </w:p>
    <w:p>
      <w:pPr>
        <w:ind w:firstLine="360"/>
        <w:jc w:val="both"/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8"/>
        </w:rPr>
        <w:t>- воспитывать уважения к труду и людям труда</w:t>
      </w:r>
      <w:r>
        <w:rPr>
          <w:rFonts w:ascii="Times New Roman" w:eastAsia="Calibri" w:hAnsi="Times New Roman" w:cs="Times New Roman"/>
          <w:sz w:val="18"/>
          <w:szCs w:val="18"/>
        </w:rPr>
        <w:t>.</w:t>
      </w:r>
    </w:p>
    <w:p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программа предназначена для детей 7-13 лет, включая детей – инвалидов и детей с ОВЗ, </w:t>
      </w:r>
      <w:r>
        <w:rPr>
          <w:rFonts w:ascii="Times New Roman" w:hAnsi="Times New Roman" w:cs="Times New Roman"/>
          <w:sz w:val="28"/>
          <w:szCs w:val="28"/>
        </w:rPr>
        <w:t xml:space="preserve">учитывая психологические особенности обучающихся, на первый план выходят различного рода их возможности. </w:t>
      </w:r>
      <w:r>
        <w:rPr>
          <w:rFonts w:ascii="Times New Roman" w:hAnsi="Times New Roman"/>
          <w:sz w:val="28"/>
          <w:szCs w:val="28"/>
        </w:rPr>
        <w:t xml:space="preserve">Нарушения опорно-двигательного аппарата – двигательные нарушения, имеющие разные причины и разную степень выраженности, ДЦП, врожденные и приобретенные деформации ОДА, вялые параличи верхних и нижних конечностей, парезы и парапарезы верхних и нижних конечностей и т.п. Нарушения функций опорно-двигательного аппарата могут носить как врожденный, так и приобретенный характер. Отклонения в развитии у детей с патологией опорно-двигательного аппарата отличаются значительной полиморфностью и диссоциацией в степени выраженности различных нарушений. Двигательные расстройства характеризуются нарушениями скоординированности, темпа движений, ограничение их объема и силы. Они приводят к невозможности или частичному нарушению осуществления движений скелетно-мышечной системой во времени и пространстве. </w:t>
      </w:r>
      <w:r>
        <w:rPr>
          <w:rFonts w:ascii="Times New Roman" w:hAnsi="Times New Roman" w:cs="Times New Roman"/>
          <w:sz w:val="28"/>
          <w:szCs w:val="28"/>
        </w:rPr>
        <w:t>Детский церебральный паралич (ДЦП) обозначает группу двигательных расстройств, возникающих при поражении двигательных систем головного мозга и проявляющихся в недостатке или отсутствии контроля со стороны нервной системы за произвольными движениями. Патология двигательной системы у детей с ДЦП является одним из важнейших факторов, замедляющих и искажающих их психическое развитие. Уровень интеллектуальных нарушений у детей с церебральным параличом различен. Определенная часть детей, имеющих двигательные нарушения, близка к нормально развивающимся сверстникам. Большая часть детей с ДЦП имеет задержку психического развития вследствие раннего органического поражения мозга. У части детей интеллектуальное недоразвитие более резко выражено. Третья группа нарушений при ДЦП — это речевые расстройства: чаще различные дизартрии, реже алалия, а также нарушения письменной речи — дислексия, дисграфия. Для всех детей школьного возраста особенно трудными являются задания, решаемые средствами наглядно-действенного и наглядно-образного мышления, недостаточная сформированность наглядно-действенного и образного мышления у детей в сочетании со стойкими речевыми расстройствами обуславливает отставание в развитии словесно-логического мышления. Характерной особенностью мышления является также нарушенная динамика мыслительных процессов. Частым нарушением является также недостаточная последовательность мышления.</w:t>
      </w:r>
    </w:p>
    <w:p>
      <w:pPr>
        <w:ind w:firstLine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Объем и срок освоения программы:</w:t>
      </w:r>
      <w:r>
        <w:rPr>
          <w:rFonts w:ascii="Times New Roman" w:hAnsi="Times New Roman" w:cs="Times New Roman"/>
          <w:sz w:val="28"/>
          <w:szCs w:val="28"/>
        </w:rPr>
        <w:t xml:space="preserve"> Программа рассчитана на один год обучения – 144 часа, в реабилитационном центре по модулям – 20 часов. </w:t>
      </w:r>
    </w:p>
    <w:p>
      <w:pPr>
        <w:ind w:firstLine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Формы обучения: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очная</w:t>
      </w:r>
      <w:r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бучение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оптимальном уровне </w:t>
      </w:r>
      <w:r>
        <w:rPr>
          <w:rFonts w:ascii="Times New Roman" w:hAnsi="Times New Roman" w:cs="Times New Roman"/>
          <w:sz w:val="28"/>
          <w:szCs w:val="28"/>
        </w:rPr>
        <w:t>сложности: н</w:t>
      </w:r>
      <w:r>
        <w:rPr>
          <w:rFonts w:ascii="Times New Roman" w:eastAsia="Calibri" w:hAnsi="Times New Roman" w:cs="Times New Roman"/>
          <w:sz w:val="28"/>
          <w:szCs w:val="28"/>
        </w:rPr>
        <w:t>а первоначальном этапе изучается основной материал, затем при закреплении вводятся новые, уточняющие изученное, примеры и приемы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Calibri" w:hAnsi="Times New Roman" w:cs="Times New Roman"/>
          <w:iCs/>
          <w:sz w:val="28"/>
          <w:szCs w:val="28"/>
        </w:rPr>
        <w:t>редотвращ</w:t>
      </w:r>
      <w:r>
        <w:rPr>
          <w:rFonts w:ascii="Times New Roman" w:hAnsi="Times New Roman" w:cs="Times New Roman"/>
          <w:iCs/>
          <w:sz w:val="28"/>
          <w:szCs w:val="28"/>
        </w:rPr>
        <w:t xml:space="preserve">ающие </w:t>
      </w:r>
      <w:r>
        <w:rPr>
          <w:rFonts w:ascii="Times New Roman" w:eastAsia="Calibri" w:hAnsi="Times New Roman" w:cs="Times New Roman"/>
          <w:iCs/>
          <w:sz w:val="28"/>
          <w:szCs w:val="28"/>
        </w:rPr>
        <w:t>наступлени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утомляемости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Основной формой организации деятельности обучающихся в рамках детского объединения является учебное занятие, позволяющее использовать различные методы обучения. Для эффективного накопления двигательных навыков и освоения новых знаний, для повышения самооценки и мотивации к художественному творчеству предлагается использование и других форм занятий. Прежде всего – это коррекционно – развивающие игры, практические работы, экскурсии, выставки детского творчества.</w:t>
      </w:r>
    </w:p>
    <w:p>
      <w:pPr>
        <w:ind w:firstLine="708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обучении используются следующие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</w:rPr>
        <w:t>методы обучения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словесный (объяснение, беседа, рассказ);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(показ, наблюдение, демонстрация приемов работы);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эмоциональный (подбор ассоциаций, образов, создание художественных впечатлений)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проблемный;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объяснительно-иллюстративные (демонстрация методических пособий, иллюстраций);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частично-поисковые (выполнение вариативных заданий);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(творческие задания, участие детей в конкурсах); исследовательские (исследование возможностей других материалов);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(занятие-сказка, занятие-путешествие, динамическая пауза, проведение праздников);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частично-поисковый.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Тип занятия:</w:t>
      </w:r>
    </w:p>
    <w:p>
      <w:pPr>
        <w:adjustRightInd/>
        <w:ind w:firstLine="708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1. Занятие сообщения (изучения) новых знаний.</w:t>
      </w:r>
    </w:p>
    <w:p>
      <w:pPr>
        <w:adjustRightInd/>
        <w:ind w:left="992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Занятие закрепления и развития знаний, умений, навыков.</w:t>
      </w:r>
    </w:p>
    <w:p>
      <w:pPr>
        <w:adjustRightInd/>
        <w:ind w:left="992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Занятие формирования умений и навыков.</w:t>
      </w:r>
    </w:p>
    <w:p>
      <w:pPr>
        <w:adjustRightInd/>
        <w:ind w:left="992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Занятие повторение.</w:t>
      </w:r>
    </w:p>
    <w:p>
      <w:pPr>
        <w:adjustRightInd/>
        <w:ind w:left="992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Занятие применения знаний, умений, навыков.</w:t>
      </w:r>
    </w:p>
    <w:p>
      <w:pPr>
        <w:adjustRightInd/>
        <w:ind w:left="992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Занятие обобщения и систематизации знаний, умений.</w:t>
      </w:r>
    </w:p>
    <w:p>
      <w:pPr>
        <w:adjustRightInd/>
        <w:ind w:left="992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Комбинированное занятие.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занятия:</w:t>
      </w:r>
    </w:p>
    <w:p>
      <w:pPr>
        <w:adjustRightInd/>
        <w:autoSpaceDE w:val="off"/>
        <w:autoSpaceDN w:val="off"/>
        <w:jc w:val="both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занятие - путешествие;</w:t>
      </w:r>
    </w:p>
    <w:p>
      <w:pPr>
        <w:adjustRightInd/>
        <w:autoSpaceDE w:val="off"/>
        <w:autoSpaceDN w:val="off"/>
        <w:jc w:val="both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занятие – игра;</w:t>
      </w:r>
    </w:p>
    <w:p>
      <w:pPr>
        <w:adjustRightInd/>
        <w:autoSpaceDE w:val="off"/>
        <w:autoSpaceDN w:val="off"/>
        <w:jc w:val="both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занятие - творчества;</w:t>
      </w:r>
    </w:p>
    <w:p>
      <w:pPr>
        <w:adjustRightInd/>
        <w:autoSpaceDE w:val="off"/>
        <w:autoSpaceDN w:val="off"/>
        <w:jc w:val="both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занятие - творческий отчет;</w:t>
      </w:r>
    </w:p>
    <w:p>
      <w:pPr>
        <w:adjustRightInd/>
        <w:autoSpaceDE w:val="off"/>
        <w:autoSpaceDN w:val="off"/>
        <w:jc w:val="both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интегрированное занятие;</w:t>
      </w:r>
    </w:p>
    <w:p>
      <w:pPr>
        <w:adjustRightInd/>
        <w:autoSpaceDE w:val="off"/>
        <w:autoSpaceDN w:val="off"/>
        <w:jc w:val="both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занятие – «Защита проектов»;</w:t>
      </w:r>
    </w:p>
    <w:p>
      <w:pPr>
        <w:adjustRightInd/>
        <w:autoSpaceDE w:val="off"/>
        <w:autoSpaceDN w:val="off"/>
        <w:jc w:val="both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занятие – выставка.</w:t>
      </w:r>
    </w:p>
    <w:p>
      <w:pPr>
        <w:adjustRightInd/>
        <w:ind w:firstLine="708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занятиях используются разноуровневые задания в зависимости от индивидуальных особенностей детей и степени усвоения программного материала. </w:t>
      </w:r>
    </w:p>
    <w:p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Режим занятий: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занятия длятся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академических часа с</w:t>
      </w:r>
      <w:r>
        <w:rPr>
          <w:rFonts w:ascii="Times New Roman" w:hAnsi="Times New Roman" w:cs="Times New Roman"/>
          <w:sz w:val="28"/>
          <w:szCs w:val="28"/>
        </w:rPr>
        <w:t xml:space="preserve"> перерывами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проводятся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2 раза </w:t>
      </w:r>
      <w:r>
        <w:rPr>
          <w:rFonts w:ascii="Times New Roman" w:eastAsia="Calibri" w:hAnsi="Times New Roman" w:cs="Times New Roman"/>
          <w:sz w:val="28"/>
          <w:szCs w:val="28"/>
        </w:rPr>
        <w:t>в неделю.</w:t>
      </w:r>
    </w:p>
    <w:p>
      <w:pPr>
        <w:ind w:firstLine="709"/>
        <w:jc w:val="both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Формы аттестации:</w:t>
      </w:r>
    </w:p>
    <w:p>
      <w:pPr>
        <w:ind w:firstLine="709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Педагогический контроль знаний, умений и навыков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eastAsia="Calibri" w:hAnsi="Times New Roman" w:cs="Times New Roman"/>
          <w:sz w:val="28"/>
          <w:szCs w:val="28"/>
        </w:rPr>
        <w:t>осуществляется в несколько этапов и предусматривает несколько уровней.</w:t>
      </w:r>
    </w:p>
    <w:p>
      <w:pPr>
        <w:ind w:left="709" w:firstLine="0"/>
        <w:jc w:val="both"/>
        <w:numPr>
          <w:ilvl w:val="0"/>
          <w:numId w:val="2"/>
        </w:num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Вводный контроль (Промежуточная аттестация на начало учебного года)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выявления умений и навыков детей и определения необходимости и степени коррекционно-творческой помощи на начало учебного года</w:t>
      </w:r>
      <w:r>
        <w:rPr>
          <w:rFonts w:ascii="Times New Roman" w:hAnsi="Times New Roman" w:cs="Times New Roman"/>
          <w:sz w:val="28"/>
          <w:szCs w:val="28"/>
        </w:rPr>
        <w:t>, модуля.</w:t>
      </w:r>
    </w:p>
    <w:p>
      <w:pPr>
        <w:jc w:val="both"/>
        <w:numPr>
          <w:ilvl w:val="0"/>
          <w:numId w:val="2"/>
        </w:numPr>
        <w:tabs>
          <w:tab w:val="left" w:pos="1134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Промежуточная аттестация в конце учебного года</w:t>
      </w:r>
      <w:r>
        <w:rPr>
          <w:rFonts w:ascii="Times New Roman" w:hAnsi="Times New Roman" w:cs="Times New Roman"/>
          <w:i/>
          <w:sz w:val="28"/>
          <w:szCs w:val="28"/>
        </w:rPr>
        <w:t>, модуля.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выявления образовательных и коррекционных результатов. </w:t>
      </w:r>
    </w:p>
    <w:p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Конечным результатом выполнения программы предполагается выход обучающихся на более высокие уровни обучения; участие в выставках, смотрах и конкурсах.</w:t>
      </w:r>
    </w:p>
    <w:p>
      <w:pPr>
        <w:adjustRightInd/>
        <w:ind w:firstLine="708"/>
        <w:autoSpaceDE w:val="off"/>
        <w:autoSpaceDN w:val="off"/>
        <w:jc w:val="both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Формы отслеживания и фиксации образовательных результатов:</w:t>
      </w:r>
    </w:p>
    <w:p>
      <w:pPr>
        <w:adjustRightInd/>
        <w:ind w:firstLine="708"/>
        <w:autoSpaceDE w:val="off"/>
        <w:autoSpaceDN w:val="off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Проводятся праздники, постановка спектаклей, выполнение творческих работ для районных выставок, конкурсов.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Требования к уровню освоения содержания программы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одержание и материал программы «Волшебные пальчики» организованны по принципу дифференциации в соответствии со стартовым уровнем. Общедоступные и универсальные формы организации материала </w:t>
      </w:r>
      <w:r>
        <w:rPr>
          <w:rFonts w:ascii="Times New Roman" w:hAnsi="Times New Roman" w:cs="Times New Roman"/>
          <w:sz w:val="28"/>
          <w:szCs w:val="28"/>
        </w:rPr>
        <w:t>даю</w:t>
      </w:r>
      <w:r>
        <w:rPr>
          <w:rFonts w:ascii="Times New Roman" w:eastAsia="Calibri" w:hAnsi="Times New Roman" w:cs="Times New Roman"/>
          <w:sz w:val="28"/>
          <w:szCs w:val="28"/>
        </w:rPr>
        <w:t>т возможность достиже</w:t>
      </w:r>
      <w:r>
        <w:rPr>
          <w:rFonts w:ascii="Times New Roman" w:hAnsi="Times New Roman" w:cs="Times New Roman"/>
          <w:sz w:val="28"/>
          <w:szCs w:val="28"/>
        </w:rPr>
        <w:t>ния успеха каждому обучающемуся.</w:t>
      </w:r>
    </w:p>
    <w:p>
      <w:pPr>
        <w:ind w:firstLine="360"/>
        <w:jc w:val="both"/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Личностные результаты освоения программы:</w:t>
      </w:r>
    </w:p>
    <w:p>
      <w:pPr>
        <w:ind w:firstLine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создавать комфортную обстановку на занятиях, а также атмосферу   доброжелательности, сотрудничества,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взаимопомощь, товарищество;</w:t>
      </w:r>
    </w:p>
    <w:p>
      <w:pPr>
        <w:ind w:firstLine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формировать их внимательное и ответственное отношения к выполнению своих работ;</w:t>
      </w:r>
    </w:p>
    <w:p>
      <w:pPr>
        <w:ind w:left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 активную деятельность;</w:t>
      </w:r>
    </w:p>
    <w:p>
      <w:pPr>
        <w:ind w:firstLine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адаптация и освоение социального опыта, основных социальных ролей, соответствующих ведущей деятельности данного возраста и уровня развития, норм и правил общественного поведения.</w:t>
      </w:r>
    </w:p>
    <w:p>
      <w:pPr>
        <w:ind w:firstLine="360"/>
        <w:jc w:val="both"/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Метапредметные результаты освоения программы:</w:t>
      </w:r>
    </w:p>
    <w:p>
      <w:pPr>
        <w:ind w:left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 эстетический и художественный вкус у обучающихся;</w:t>
      </w:r>
    </w:p>
    <w:p>
      <w:pPr>
        <w:ind w:left="426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воспитывать аккуратность,  культуру поведения;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формировать умение видеть красоту посредством демонстрации и изготовления  изделий декоративно-прикладного творчества (выставки).</w:t>
      </w:r>
    </w:p>
    <w:p>
      <w:pPr>
        <w:ind w:firstLine="360"/>
        <w:jc w:val="both"/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Образовательные результаты освоения программы:</w:t>
      </w:r>
    </w:p>
    <w:p>
      <w:pPr>
        <w:ind w:left="426"/>
        <w:jc w:val="both"/>
        <w:spacing w:after="0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1. формировать представления о народных промыслах;</w:t>
      </w:r>
    </w:p>
    <w:p>
      <w:pPr>
        <w:ind w:firstLine="360"/>
        <w:jc w:val="both"/>
        <w:spacing w:after="0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 xml:space="preserve"> 2. формировать способности к самостоятельному поиску методов и приемов лепки, способов выполнения изделий;</w:t>
      </w:r>
    </w:p>
    <w:p>
      <w:pPr>
        <w:ind w:firstLine="426"/>
        <w:jc w:val="both"/>
        <w:spacing w:after="0"/>
        <w:rPr>
          <w:lang w:eastAsia="ru-RU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lang w:eastAsia="ru-RU"/>
          <w:rFonts w:ascii="Times New Roman" w:eastAsia="Times New Roman" w:hAnsi="Times New Roman" w:cs="Times New Roman"/>
          <w:sz w:val="28"/>
          <w:szCs w:val="28"/>
        </w:rPr>
        <w:t>формировать способности к творческому раскрытию, самостоятельности, саморазвитию.</w:t>
      </w:r>
    </w:p>
    <w:p>
      <w:pPr>
        <w:adjustRightInd/>
        <w:autoSpaceDE w:val="off"/>
        <w:autoSpaceDN w:val="off"/>
        <w:jc w:val="both"/>
        <w:spacing w:after="0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знания и умения к концу первого года обучения</w:t>
      </w:r>
    </w:p>
    <w:p>
      <w:pPr>
        <w:jc w:val="both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В ходе изучения общеобразовательной (общеразвивающей) программы «</w:t>
      </w:r>
      <w:r>
        <w:rPr>
          <w:rFonts w:ascii="Times New Roman" w:hAnsi="Times New Roman" w:cs="Times New Roman"/>
          <w:sz w:val="28"/>
          <w:szCs w:val="28"/>
        </w:rPr>
        <w:t>Волшебные пальчики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у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формируются следующие компетенции по осуществлению </w:t>
      </w:r>
      <w:r>
        <w:rPr>
          <w:rFonts w:ascii="Times New Roman" w:eastAsia="Calibri" w:hAnsi="Times New Roman" w:cs="Times New Roman"/>
          <w:b/>
          <w:sz w:val="28"/>
          <w:szCs w:val="28"/>
        </w:rPr>
        <w:t>универсальных действий:</w:t>
      </w:r>
    </w:p>
    <w:p>
      <w:pPr>
        <w:ind w:left="0" w:firstLine="1068"/>
        <w:jc w:val="both"/>
        <w:shd w:val="clear" w:color="auto" w:fill="FFFFFF"/>
        <w:numPr>
          <w:ilvl w:val="0"/>
          <w:numId w:val="3"/>
        </w:numPr>
        <w:spacing w:after="0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личностные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(самоопределение, смыслообразование, нравственно-этическая ориентация); </w:t>
      </w:r>
    </w:p>
    <w:p>
      <w:pPr>
        <w:ind w:left="0" w:firstLine="1068"/>
        <w:jc w:val="both"/>
        <w:shd w:val="clear" w:color="auto" w:fill="FFFFFF"/>
        <w:numPr>
          <w:ilvl w:val="0"/>
          <w:numId w:val="3"/>
        </w:numPr>
        <w:spacing w:after="0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регулятивные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(целеполагание, планирование, прогнозирование, контроль, коррекция, оценка, саморегуляция); </w:t>
      </w:r>
    </w:p>
    <w:p>
      <w:pPr>
        <w:ind w:left="0" w:firstLine="1068"/>
        <w:jc w:val="both"/>
        <w:shd w:val="clear" w:color="auto" w:fill="FFFFFF"/>
        <w:numPr>
          <w:ilvl w:val="0"/>
          <w:numId w:val="3"/>
        </w:numPr>
        <w:spacing w:after="0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познавательные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(общеучебные, логические действия, а также действия постановки и решения проблем); </w:t>
      </w:r>
    </w:p>
    <w:p>
      <w:pPr>
        <w:ind w:left="0" w:firstLine="1068"/>
        <w:jc w:val="both"/>
        <w:shd w:val="clear" w:color="auto" w:fill="FFFFFF"/>
        <w:numPr>
          <w:ilvl w:val="0"/>
          <w:numId w:val="3"/>
        </w:numPr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коммуникативные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(планирование сотрудничества, постановка вопросов – инициативное сотрудничество в поиске и сборе информации, разрешение конфликтов, управление поведением партнера – контроль, коррекция, оценка действий партнера, достаточно полное и точное выражение своих мыслей в соответствии с задачами и условиями коммуникации).</w:t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должны:</w:t>
      </w:r>
    </w:p>
    <w:p>
      <w:pPr>
        <w:pStyle w:val="af3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правила поведения в школе, музее;</w:t>
      </w:r>
    </w:p>
    <w:p>
      <w:pPr>
        <w:pStyle w:val="af3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представления о жанрах скульптуры;</w:t>
      </w:r>
    </w:p>
    <w:p>
      <w:pPr>
        <w:pStyle w:val="af3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правильно готовить глиняную массу, овладеть приемами лепки;</w:t>
      </w:r>
    </w:p>
    <w:p>
      <w:pPr>
        <w:pStyle w:val="af3"/>
        <w:ind w:left="0" w:firstLine="349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начальное представление о массе, объеме, взаимосвязи фигур в композиции;</w:t>
      </w:r>
    </w:p>
    <w:p>
      <w:pPr>
        <w:pStyle w:val="af3"/>
        <w:ind w:left="0" w:firstLine="360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правильно передавать пропорции, создавать красивые изделия. Последовательно выполнять простые образы глиняных игрушек;</w:t>
      </w:r>
    </w:p>
    <w:p>
      <w:pPr>
        <w:pStyle w:val="af3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наблюдать природные формы, красоту;</w:t>
      </w:r>
    </w:p>
    <w:p>
      <w:pPr>
        <w:pStyle w:val="af3"/>
        <w:ind w:left="0" w:firstLine="360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Приобрести навыки по лепке декоративного рельефа, совершенствуют общие знания о скульптуре.</w:t>
      </w:r>
    </w:p>
    <w:p>
      <w:pPr>
        <w:pStyle w:val="af3"/>
        <w:ind w:left="0" w:firstLine="360"/>
        <w:jc w:val="both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представление о бережном отношении к братьям нашим меньшим и растениям.</w:t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>
        <w:rPr>
          <w:rFonts w:ascii="Times New Roman" w:eastAsia="Calibri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(общеразвивающей) программы «Волшебные пальчики»</w:t>
      </w:r>
    </w:p>
    <w:tbl>
      <w:tblPr>
        <w:tblStyle w:val="afffff5"/>
        <w:tblW w:w="9923" w:type="dxa"/>
        <w:tblInd w:w="-176" w:type="dxa"/>
        <w:tblLook w:val="04A0" w:firstRow="1" w:lastRow="0" w:firstColumn="1" w:lastColumn="0" w:noHBand="0" w:noVBand="1"/>
        <w:tblLayout w:type="fixed"/>
      </w:tblPr>
      <w:tblGrid>
        <w:gridCol w:w="3970"/>
        <w:gridCol w:w="992"/>
        <w:gridCol w:w="1134"/>
        <w:gridCol w:w="1559"/>
        <w:gridCol w:w="2268"/>
      </w:tblGrid>
      <w:tr>
        <w:tc>
          <w:tcPr>
            <w:tcW w:w="3970" w:type="dxa"/>
          </w:tcPr>
          <w:p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Наименование разделов</w:t>
            </w:r>
          </w:p>
          <w:p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Темы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Всего часов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теория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практика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Формы аттестации/контроля</w:t>
            </w: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1.Вводное занятие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Стартовая диагностика</w:t>
            </w: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2. Различные формы в лепке.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2.1. Шарики-смешарики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2.2. Пальчиковый театр «Уши, лапы, хвост»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2.3. Ребятам о зверятах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17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3. Изучение растительных форм природы.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3.1. Осеннее дерево.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3.2. Подарки леса.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3.3. Сюжетная композиция.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20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4. Украшение зимы.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4.1. Признаки зимы «Снежные узоры»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4.2. Наш родной край зимой.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4.3. Изготовление новогодних игрушек.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4.4. Православные праздники.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8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Рубежная диагностика.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Творческая работа</w:t>
            </w: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5. Декоративные формы и фактура.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5.1. Декоративный сосуд.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5.2. Декоративное панно.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5.3. Лепка по замыслу.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5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17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6. Знакомство со сказкой.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6.1. Цветочная сказка.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6.2. Сказочные герои.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Выставка</w:t>
            </w: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7. Встреча весны.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7.1. Первоцветы.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7.2. Встреча птиц.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7.3. Сюжетная композиция.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20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Праздник</w:t>
            </w: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8. Природа и настроение.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8.1. Музыка природы.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8.2. Я и природа.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268" w:type="dxa"/>
          </w:tcPr>
          <w:p>
            <w:pPr>
              <w:jc w:val="center"/>
              <w:rPr>
                <w:lang w:val="en-US"/>
                <w:rFonts w:ascii="Times New Roman" w:hAnsi="Times New Roman" w:cs="Times New Roman"/>
                <w:sz w:val="27"/>
                <w:szCs w:val="27"/>
              </w:rPr>
            </w:pP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9. Сюжетная композиция</w:t>
            </w:r>
          </w:p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«Мир моих увлечений»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Выставка</w:t>
            </w:r>
          </w:p>
        </w:tc>
      </w:tr>
      <w:tr>
        <w:tc>
          <w:tcPr>
            <w:tcW w:w="3970" w:type="dxa"/>
          </w:tcPr>
          <w:p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10. Подведение итогов.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Диагностика по итогам года</w:t>
            </w:r>
          </w:p>
        </w:tc>
      </w:tr>
      <w:tr>
        <w:tc>
          <w:tcPr>
            <w:tcW w:w="3970" w:type="dxa"/>
          </w:tcPr>
          <w:p>
            <w:pPr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Итого:</w:t>
            </w:r>
          </w:p>
        </w:tc>
        <w:tc>
          <w:tcPr>
            <w:tcW w:w="992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144</w:t>
            </w:r>
          </w:p>
        </w:tc>
        <w:tc>
          <w:tcPr>
            <w:tcW w:w="1134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46</w:t>
            </w:r>
          </w:p>
        </w:tc>
        <w:tc>
          <w:tcPr>
            <w:tcW w:w="1559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98</w:t>
            </w:r>
          </w:p>
        </w:tc>
        <w:tc>
          <w:tcPr>
            <w:tcW w:w="2268" w:type="dxa"/>
          </w:tcPr>
          <w:p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</w:tbl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дополнительной общеобразовательной (общеразвивающей) программы «Волшебные пальчики»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1.Вводное занятие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Знакомство с правилами техники безопасности, со свойствами глины, оборудованием, инструментами выявление пластичности, особенностей обработки глины. Связь традиционных приемов и способов обработки глины как природного материала.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Выполнение пробного изделия «Моя ладонь».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 w:color="auto"/>
        </w:rPr>
        <w:t>Промежуточная аттестация на начало года:</w:t>
      </w:r>
      <w:r>
        <w:rPr>
          <w:rFonts w:ascii="Times New Roman" w:hAnsi="Times New Roman" w:cs="Times New Roman"/>
          <w:sz w:val="28"/>
          <w:szCs w:val="28"/>
        </w:rPr>
        <w:t xml:space="preserve"> стартовая диагностика.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Различные формы в лепке.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Шарики-смешарики.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Приемы лепки шара.</w:t>
      </w:r>
    </w:p>
    <w:p>
      <w:pPr>
        <w:jc w:val="both"/>
        <w:tabs>
          <w:tab w:val="left" w:pos="38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стилизованных животных из шара. Умение подготовить глину к работе, разминать её, отщипывать кусочки, раскатывать шарики, жгутики, столбики, завитушки.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Пальчиковый театр «Лапы, уши, хвост».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Пальчиковый театр. Ручные приемы лепки, поиска образа и определению пластических форм, анализ традиционно линейно пространственного силуэта.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животных по сказке «Репка». Показ спектакля.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Ребятам о зверятах.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Особенности лепки объемной композиции. Последовательность лепки различных животных.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животных: заяц, еж.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Изучение растительных форм природы.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Осеннее дерево.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Понятие «симметрия», предмет и фон. Приемы ручной лепки дерева.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деревьев различных форм: береза, дуб, клен. 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Подарки леса.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Теоретическая часть: Различие форм. Понятие композиции в рельефе, на плоскости. Приемы  лепки ягод и грибов.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Практическая часть: Лепка ягод и грибов.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Сюжетная композиция.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Теоретическая часть: Особенности составления композиции из различных объемных форм. Последовательность составления композиции.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Практическая часть: Лепка объемов и составление из них композиции «Осенний лес».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Украшение зимы.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Признаки зимы «Снежные узоры»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часть: Признаки зимы.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композиции «Зимнее окно»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Наш родной край зимой.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История края. Творчество художников: И.И.Шишкина, В.Д. Поленова.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композиции «Любимое местечко».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Изготовление новогодних игрушек.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Понятие эскиз. Сочетание разного материала.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домика.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Православные праздники.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Какие праздники бывают и что они означают.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символов Рождества. Украшение рождественского венка.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Декоративные формы и фактура.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Декоративный сосуд.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Посуда древности, история создания посуды.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объема из жгута.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Декоративное панно.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Понятие панно, техника исполнения.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и изготовление панно.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Лепка по замыслу.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Модернизация народных промыслов.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украшения по эскизам.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Знакомство со сказкой.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Цветочная сказка.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Основы лепки цветов.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по замыслу.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Сказочные герои.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Преобразование реальных образов в фантастические, сказочные.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героев.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Встреча весны.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Первоцветы.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Знакомство с краснокнижными растениями. Сохранение природы родного края.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с натуры.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Встреча птиц.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Знакомство с перелетными и зимующими птицами.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и составление композиции.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Сюжетная композиция.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Понятие о сюжете, основы композиции.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Коллективная работа. Лепка «Наш сад».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Природа и настроение.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Музыка природы.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Волшебные звуки природы, различие между ними.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различного состояния природы.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Я и природа.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Сравнение эмоционального состояния человека и природы.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Лепка образа природы.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Сюжетная композиция «Мир моих увлечений»</w:t>
      </w:r>
    </w:p>
    <w:p>
      <w:pPr>
        <w:ind w:left="142" w:hanging="142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Теоретическая часть: Выбор темы для самостоятельного творчества.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Практическая часть: Изготовление работы по своим эскизам.</w:t>
      </w:r>
    </w:p>
    <w:p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Итоговое занятие.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проведение праздника «Ярмарочная карусель».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</w:p>
    <w:p>
      <w:pPr>
        <w:ind w:left="426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>
      <w:pPr>
        <w:jc w:val="center"/>
        <w:tabs>
          <w:tab w:val="left" w:pos="717"/>
        </w:tabs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Список используемой литературы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Бабанский Ю.К. Избранные педагогические труды. – М.: Педагогика, 1989.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Бубнова Е.В. Праздники-проказники -М.: Издательство «Тригон»,2007.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Вальц И. -М.: Академия развития, 2008.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Гертруда Шоттенлоэр. Рисунок и образ в гештальттерапии – СПБ.: Издательство Пирошкова, 2002.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Дайн Г. Игрушечных дел Мастера - М.: Просвещение, 1994.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Декларация прав человека.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Демина И.Г. «Подарки из природных материалов», Смоленск: Русич,2001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Декларация прав человека.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Дубровин Б. Русские самоцветы - М.: Просвещение,1969.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Закон «Об образовании» (Федеральный закон от 29 декабря 2012 г.       № 273 - ФЗ).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Закон Белгородской области «Об ответственности родителей за воспитание детей» (принят Белгородской областной Думой 20 января 2005).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Зинкевич – Евстигнеева Г.Д., Грабенко Т.М. Практикум по креативной терапии – М.:Издательство «Речь», 2001.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Иванова Г.В. Поделки на прогулке - М.: Издательство «Тригон», 2007.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Карлсон М. Сказочные персонажи из полимерной глины - М. «Контэнт», 2009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Конвенция о правах ребёнка.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Конституция РФ – М.: 1995., ст. 36 и 43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Мастерим вместе с мамой Жучки и паучки,№1, 2010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Носова Т. Ситцевый лоскуток, Мозаика Синтез, 2009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Покачалова Е.С. «Детская флористика» - М.: «Карапуз»,2009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Романовская А.Л., Чезлов Е.М. Забавные поделки, Москва АСТ.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Ручная работа - М. «Бониер Пабликейшенз», №11 2009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Салтыков А.Б. Русская народная керамика, «Просвещение»1960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Федотов Г.  Сухие травы- М.: «Аст-Пресс», 1997</w:t>
      </w:r>
    </w:p>
    <w:p>
      <w:pPr>
        <w:widowControl w:val="off"/>
        <w:suppressAutoHyphens/>
        <w:jc w:val="both"/>
        <w:suppressAutoHyphens/>
        <w:numPr>
          <w:ilvl w:val="0"/>
          <w:numId w:val="5"/>
        </w:numPr>
        <w:tabs>
          <w:tab w:val="left" w:pos="717"/>
        </w:tabs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Шарапова Е.П.  Поделки на каникулах, М.: Издательство Тригон, 2008</w:t>
      </w:r>
    </w:p>
    <w:p>
      <w:pPr>
        <w:jc w:val="both"/>
        <w:tabs>
          <w:tab w:val="left" w:pos="717"/>
        </w:tabs>
        <w:rPr>
          <w:rFonts w:ascii="Calibri" w:eastAsia="Calibri" w:hAnsi="Calibri" w:cs="Times New Roman"/>
          <w:b/>
          <w:sz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/>
    <w:sectPr>
      <w:pgSz w:w="11906" w:h="16838" w:code="9"/>
      <w:pgMar w:top="1134" w:right="850" w:bottom="1134" w:left="1701" w:header="708" w:footer="708" w:gutter="0"/>
      <w:cols w:space="708"/>
      <w:docGrid w:linePitch="360"/>
      <w:footerReference w:type="default" r:id="rId2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true"/>
    <w:sig w:usb0="E0002AFF" w:usb1="C0007841" w:usb2="00000009" w:usb3="00000001" w:csb0="400001FF" w:csb1="FFFF0000"/>
  </w:font>
  <w:font w:name="Calibri">
    <w:panose1 w:val="020F0502020204030204"/>
    <w:family w:val="swiss"/>
    <w:charset w:val="cc"/>
    <w:notTrueType w:val="true"/>
    <w:sig w:usb0="E00002FF" w:usb1="4000ACFF" w:usb2="00000001" w:usb3="00000001" w:csb0="2000019F" w:csb1="00000001"/>
  </w:font>
  <w:font w:name="TimesNewRomanPSMT">
    <w:panose1 w:val="00000000000000000000"/>
    <w:family w:val="auto"/>
    <w:charset w:val="cc"/>
    <w:notTrueType w:val="false"/>
    <w:sig w:usb0="00000201" w:usb1="00000000" w:usb2="00000000" w:usb3="00000000" w:csb0="00000004" w:csb1="00000000"/>
  </w:font>
  <w:font w:name="Symbol">
    <w:panose1 w:val="05050102010706020507"/>
    <w:family w:val="roman"/>
    <w:charset w:val="02"/>
    <w:notTrueType w:val="tru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true"/>
    <w:sig w:usb0="E0002AFF" w:usb1="C0007843" w:usb2="00000009" w:usb3="00000001" w:csb0="400001FF" w:csb1="FFFF0000"/>
  </w:font>
  <w:font w:name="Wingdings">
    <w:panose1 w:val="05000000000000000000"/>
    <w:family w:val="auto"/>
    <w:charset w:val="02"/>
    <w:notTrueType w:val="true"/>
    <w:sig w:usb0="00000001" w:usb1="00000001" w:usb2="00000001" w:usb3="00000001" w:csb0="80000000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id w:val="-1"/>
      <w:docPartObj>
        <w:docPartGallery w:val="Page Numbers (Bottom of Page)"/>
        <w:docPartUnique/>
      </w:docPartObj>
    </w:sdtPr>
    <w:sdtContent>
      <w:p>
        <w:pPr>
          <w:pStyle w:val="af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>
    <w:pPr>
      <w:pStyle w:val="aff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6ad246b2"/>
    <w:multiLevelType w:val="multilevel"/>
    <w:tmpl w:val="46465af4"/>
    <w:lvl w:ilvl="0">
      <w:start w:val="1"/>
      <w:lvlText w:val="%1."/>
      <w:lvlJc w:val="left"/>
      <w:pPr>
        <w:ind w:left="720" w:hanging="360"/>
      </w:pPr>
      <w:rPr>
        <w:rFonts w:hint="default"/>
      </w:rPr>
    </w:lvl>
    <w:lvl w:ilvl="1">
      <w:start w:val="2"/>
      <w:lvlText w:val="%1.%2."/>
      <w:lvlJc w:val="left"/>
      <w:isLgl/>
      <w:pPr>
        <w:ind w:left="1080" w:hanging="720"/>
      </w:pPr>
      <w:rPr>
        <w:rFonts w:hint="default"/>
      </w:rPr>
    </w:lvl>
    <w:lvl w:ilvl="2">
      <w:start w:val="1"/>
      <w:lvlText w:val="%1.%2.%3."/>
      <w:lvlJc w:val="left"/>
      <w:isLgl/>
      <w:pPr>
        <w:ind w:left="1080" w:hanging="720"/>
      </w:pPr>
      <w:rPr>
        <w:rFonts w:hint="default"/>
      </w:rPr>
    </w:lvl>
    <w:lvl w:ilvl="3">
      <w:start w:val="1"/>
      <w:lvlText w:val="%1.%2.%3.%4."/>
      <w:lvlJc w:val="left"/>
      <w:isLgl/>
      <w:pPr>
        <w:ind w:left="1440" w:hanging="1080"/>
      </w:pPr>
      <w:rPr>
        <w:rFonts w:hint="default"/>
      </w:rPr>
    </w:lvl>
    <w:lvl w:ilvl="4">
      <w:start w:val="1"/>
      <w:lvlText w:val="%1.%2.%3.%4.%5."/>
      <w:lvlJc w:val="left"/>
      <w:isLgl/>
      <w:pPr>
        <w:ind w:left="1440" w:hanging="1080"/>
      </w:pPr>
      <w:rPr>
        <w:rFonts w:hint="default"/>
      </w:rPr>
    </w:lvl>
    <w:lvl w:ilvl="5">
      <w:start w:val="1"/>
      <w:lvlText w:val="%1.%2.%3.%4.%5.%6."/>
      <w:lvlJc w:val="left"/>
      <w:isLgl/>
      <w:pPr>
        <w:ind w:left="1800" w:hanging="1440"/>
      </w:pPr>
      <w:rPr>
        <w:rFonts w:hint="default"/>
      </w:rPr>
    </w:lvl>
    <w:lvl w:ilvl="6">
      <w:start w:val="1"/>
      <w:lvlText w:val="%1.%2.%3.%4.%5.%6.%7."/>
      <w:lvlJc w:val="left"/>
      <w:isLgl/>
      <w:pPr>
        <w:ind w:left="2160" w:hanging="1800"/>
      </w:pPr>
      <w:rPr>
        <w:rFonts w:hint="default"/>
      </w:rPr>
    </w:lvl>
    <w:lvl w:ilvl="7">
      <w:start w:val="1"/>
      <w:lvlText w:val="%1.%2.%3.%4.%5.%6.%7.%8."/>
      <w:lvlJc w:val="left"/>
      <w:isLgl/>
      <w:pPr>
        <w:ind w:left="2160" w:hanging="1800"/>
      </w:pPr>
      <w:rPr>
        <w:rFonts w:hint="default"/>
      </w:rPr>
    </w:lvl>
    <w:lvl w:ilvl="8">
      <w:start w:val="1"/>
      <w:lvlText w:val="%1.%2.%3.%4.%5.%6.%7.%8.%9."/>
      <w:lvlJc w:val="left"/>
      <w:isLgl/>
      <w:pPr>
        <w:ind w:left="2520" w:hanging="2160"/>
      </w:pPr>
      <w:rPr>
        <w:rFonts w:hint="default"/>
      </w:rPr>
    </w:lvl>
  </w:abstractNum>
  <w:abstractNum w:abstractNumId="1">
    <w:nsid w:val="69bb69c4"/>
    <w:multiLevelType w:val="hybridMultilevel"/>
    <w:tmpl w:val="ae0ed0da"/>
    <w:lvl w:ilvl="0" w:tplc="419000f">
      <w:start w:val="1"/>
      <w:lvlText w:val="%1."/>
      <w:lvlJc w:val="left"/>
      <w:pPr>
        <w:ind w:left="720" w:hanging="360"/>
      </w:p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e2289"/>
    <w:multiLevelType w:val="hybridMultilevel"/>
    <w:tmpl w:val="166a2206"/>
    <w:lvl w:ilvl="0" w:tplc="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f5569c9"/>
    <w:multiLevelType w:val="multilevel"/>
    <w:tmpl w:val="55eca7a2"/>
    <w:lvl w:ilvl="0">
      <w:start w:val="1"/>
      <w:lvlText w:val="%1."/>
      <w:lvlJc w:val="left"/>
      <w:pPr>
        <w:ind w:left="1395" w:hanging="360"/>
      </w:pPr>
      <w:rPr>
        <w:rFonts w:hint="default"/>
      </w:rPr>
    </w:lvl>
    <w:lvl w:ilvl="1">
      <w:start w:val="2"/>
      <w:lvlText w:val="%1.%2."/>
      <w:lvlJc w:val="left"/>
      <w:isLgl/>
      <w:pPr>
        <w:ind w:left="1755" w:hanging="720"/>
      </w:pPr>
      <w:rPr>
        <w:rFonts w:hint="default"/>
      </w:rPr>
    </w:lvl>
    <w:lvl w:ilvl="2">
      <w:start w:val="1"/>
      <w:lvlText w:val="%1.%2.%3."/>
      <w:lvlJc w:val="left"/>
      <w:isLgl/>
      <w:pPr>
        <w:ind w:left="1755" w:hanging="720"/>
      </w:pPr>
      <w:rPr>
        <w:rFonts w:hint="default"/>
      </w:rPr>
    </w:lvl>
    <w:lvl w:ilvl="3">
      <w:start w:val="1"/>
      <w:lvlText w:val="%1.%2.%3.%4."/>
      <w:lvlJc w:val="left"/>
      <w:isLgl/>
      <w:pPr>
        <w:ind w:left="2115" w:hanging="1080"/>
      </w:pPr>
      <w:rPr>
        <w:rFonts w:hint="default"/>
      </w:rPr>
    </w:lvl>
    <w:lvl w:ilvl="4">
      <w:start w:val="1"/>
      <w:lvlText w:val="%1.%2.%3.%4.%5."/>
      <w:lvlJc w:val="left"/>
      <w:isLgl/>
      <w:pPr>
        <w:ind w:left="2115" w:hanging="1080"/>
      </w:pPr>
      <w:rPr>
        <w:rFonts w:hint="default"/>
      </w:rPr>
    </w:lvl>
    <w:lvl w:ilvl="5">
      <w:start w:val="1"/>
      <w:lvlText w:val="%1.%2.%3.%4.%5.%6."/>
      <w:lvlJc w:val="left"/>
      <w:isLgl/>
      <w:pPr>
        <w:ind w:left="2475" w:hanging="1440"/>
      </w:pPr>
      <w:rPr>
        <w:rFonts w:hint="default"/>
      </w:rPr>
    </w:lvl>
    <w:lvl w:ilvl="6">
      <w:start w:val="1"/>
      <w:lvlText w:val="%1.%2.%3.%4.%5.%6.%7."/>
      <w:lvlJc w:val="left"/>
      <w:isLgl/>
      <w:pPr>
        <w:ind w:left="2835" w:hanging="1800"/>
      </w:pPr>
      <w:rPr>
        <w:rFonts w:hint="default"/>
      </w:rPr>
    </w:lvl>
    <w:lvl w:ilvl="7">
      <w:start w:val="1"/>
      <w:lvlText w:val="%1.%2.%3.%4.%5.%6.%7.%8."/>
      <w:lvlJc w:val="left"/>
      <w:isLgl/>
      <w:pPr>
        <w:ind w:left="2835" w:hanging="1800"/>
      </w:pPr>
      <w:rPr>
        <w:rFonts w:hint="default"/>
      </w:rPr>
    </w:lvl>
    <w:lvl w:ilvl="8">
      <w:start w:val="1"/>
      <w:lvlText w:val="%1.%2.%3.%4.%5.%6.%7.%8.%9."/>
      <w:lvlJc w:val="left"/>
      <w:isLgl/>
      <w:pPr>
        <w:ind w:left="3195" w:hanging="2160"/>
      </w:pPr>
      <w:rPr>
        <w:rFonts w:hint="default"/>
      </w:rPr>
    </w:lvl>
  </w:abstractNum>
  <w:abstractNum w:abstractNumId="4">
    <w:nsid w:val="28f612aa"/>
    <w:multiLevelType w:val="multilevel"/>
    <w:tmpl w:val="cbcaa82e"/>
    <w:lvl w:ilvl="0">
      <w:start w:val="1"/>
      <w:numFmt w:val="upperRoman"/>
      <w:lvlText w:val="%1."/>
      <w:lvlJc w:val="left"/>
      <w:pPr>
        <w:ind w:left="1428" w:hanging="720"/>
      </w:pPr>
      <w:rPr>
        <w:i/>
      </w:rPr>
    </w:lvl>
    <w:lvl w:ilvl="1">
      <w:start w:val="2"/>
      <w:lvlText w:val="%1.%2"/>
      <w:lvlJc w:val="left"/>
      <w:isLgl/>
      <w:pPr>
        <w:ind w:left="1158" w:hanging="450"/>
      </w:pPr>
    </w:lvl>
    <w:lvl w:ilvl="2">
      <w:start w:val="1"/>
      <w:lvlText w:val="%1.%2.%3"/>
      <w:lvlJc w:val="left"/>
      <w:isLgl/>
      <w:pPr>
        <w:ind w:left="1428" w:hanging="720"/>
      </w:pPr>
    </w:lvl>
    <w:lvl w:ilvl="3">
      <w:start w:val="1"/>
      <w:lvlText w:val="%1.%2.%3.%4"/>
      <w:lvlJc w:val="left"/>
      <w:isLgl/>
      <w:pPr>
        <w:ind w:left="1788" w:hanging="1080"/>
      </w:pPr>
    </w:lvl>
    <w:lvl w:ilvl="4">
      <w:start w:val="1"/>
      <w:lvlText w:val="%1.%2.%3.%4.%5"/>
      <w:lvlJc w:val="left"/>
      <w:isLgl/>
      <w:pPr>
        <w:ind w:left="1788" w:hanging="1080"/>
      </w:pPr>
    </w:lvl>
    <w:lvl w:ilvl="5">
      <w:start w:val="1"/>
      <w:lvlText w:val="%1.%2.%3.%4.%5.%6"/>
      <w:lvlJc w:val="left"/>
      <w:isLgl/>
      <w:pPr>
        <w:ind w:left="2148" w:hanging="1440"/>
      </w:pPr>
    </w:lvl>
    <w:lvl w:ilvl="6">
      <w:start w:val="1"/>
      <w:lvlText w:val="%1.%2.%3.%4.%5.%6.%7"/>
      <w:lvlJc w:val="left"/>
      <w:isLgl/>
      <w:pPr>
        <w:ind w:left="2148" w:hanging="1440"/>
      </w:pPr>
    </w:lvl>
    <w:lvl w:ilvl="7">
      <w:start w:val="1"/>
      <w:lvlText w:val="%1.%2.%3.%4.%5.%6.%7.%8"/>
      <w:lvlJc w:val="left"/>
      <w:isLgl/>
      <w:pPr>
        <w:ind w:left="2508" w:hanging="1800"/>
      </w:pPr>
    </w:lvl>
    <w:lvl w:ilvl="8">
      <w:start w:val="1"/>
      <w:lvlText w:val="%1.%2.%3.%4.%5.%6.%7.%8.%9"/>
      <w:lvlJc w:val="left"/>
      <w:isLgl/>
      <w:pPr>
        <w:ind w:left="2868" w:hanging="21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fb">
    <w:name w:val="Нижний колонтитул Знак"/>
    <w:basedOn w:val="a2"/>
    <w:link w:val="footer"/>
  </w:style>
  <w:style w:type="paragraph" w:styleId="af3">
    <w:name w:val="List Paragraph"/>
    <w:basedOn w:val="a1"/>
    <w:qFormat/>
    <w:pPr>
      <w:ind w:left="720"/>
      <w:contextualSpacing/>
    </w:pPr>
  </w:style>
  <w:style w:type="character" w:styleId="ab">
    <w:name w:val="Emphasis"/>
    <w:basedOn w:val="a2"/>
    <w:qFormat/>
    <w:rPr>
      <w:i/>
      <w:iCs/>
    </w:rPr>
  </w:style>
  <w:style w:type="table" w:styleId="afffff5">
    <w:name w:val="Table Grid"/>
    <w:basedOn w:val="a3"/>
    <w:pPr>
      <w:spacing w:after="0" w:line="240" w:lineRule="auto"/>
    </w:pPr>
    <w:rPr>
      <w:lang w:eastAsia="ru-RU"/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2"/>
  </w:style>
  <w:style w:type="paragraph" w:styleId="affa">
    <w:name w:val="footer"/>
    <w:basedOn w:val="a1"/>
    <w:link w:val="Нижний колонтитул Знак"/>
    <w:unhideWhenUsed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footer" Target="footer1.xml" /><Relationship Id="rId1" Type="http://schemas.openxmlformats.org/officeDocument/2006/relationships/image" Target="media/image1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</dc:creator>
  <cp:keywords/>
  <dc:description/>
  <cp:lastModifiedBy>Acer</cp:lastModifiedBy>
  <cp:revision>1</cp:revision>
  <dcterms:created xsi:type="dcterms:W3CDTF">2013-08-29T04:06:00Z</dcterms:created>
  <dcterms:modified xsi:type="dcterms:W3CDTF">2018-09-18T13:59:14Z</dcterms:modified>
  <cp:lastPrinted>2018-08-28T06:45:00Z</cp:lastPrinted>
  <cp:version>0900.0000.01</cp:version>
</cp:coreProperties>
</file>